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58673" w14:textId="7BC19D64" w:rsidR="00852F71" w:rsidRDefault="00852F71" w:rsidP="00852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FF6600"/>
          <w:sz w:val="18"/>
          <w:szCs w:val="18"/>
          <w:bdr w:val="none" w:sz="0" w:space="0" w:color="auto" w:frame="1"/>
          <w:lang w:eastAsia="fr-RE"/>
        </w:rPr>
      </w:pPr>
      <w:r>
        <w:rPr>
          <w:rFonts w:ascii="Arial" w:eastAsia="Times New Roman" w:hAnsi="Arial" w:cs="Arial"/>
          <w:b/>
          <w:bCs/>
          <w:color w:val="FF6600"/>
          <w:sz w:val="18"/>
          <w:szCs w:val="18"/>
          <w:bdr w:val="none" w:sz="0" w:space="0" w:color="auto" w:frame="1"/>
          <w:lang w:eastAsia="fr-RE"/>
        </w:rPr>
        <w:t>METHODE</w:t>
      </w:r>
    </w:p>
    <w:p w14:paraId="4B2B364D" w14:textId="118F91B5" w:rsidR="00852F71" w:rsidRDefault="00852F71" w:rsidP="00852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FF6600"/>
          <w:sz w:val="18"/>
          <w:szCs w:val="18"/>
          <w:bdr w:val="none" w:sz="0" w:space="0" w:color="auto" w:frame="1"/>
          <w:lang w:eastAsia="fr-RE"/>
        </w:rPr>
      </w:pPr>
      <w:r w:rsidRPr="00852F71">
        <w:rPr>
          <w:rFonts w:ascii="Arial" w:eastAsia="Times New Roman" w:hAnsi="Arial" w:cs="Arial"/>
          <w:b/>
          <w:bCs/>
          <w:color w:val="FF6600"/>
          <w:sz w:val="18"/>
          <w:szCs w:val="18"/>
          <w:bdr w:val="none" w:sz="0" w:space="0" w:color="auto" w:frame="1"/>
          <w:lang w:eastAsia="fr-RE"/>
        </w:rPr>
        <w:t>Comment répondre aux « questions » d’étude de texte ?</w:t>
      </w:r>
    </w:p>
    <w:p w14:paraId="61042EBD" w14:textId="77777777" w:rsidR="00852F71" w:rsidRPr="00852F71" w:rsidRDefault="00852F71" w:rsidP="00852F71">
      <w:pPr>
        <w:pBdr>
          <w:bottom w:val="single" w:sz="4" w:space="1" w:color="auto"/>
        </w:pBdr>
        <w:shd w:val="clear" w:color="auto" w:fill="FFFFFF"/>
        <w:spacing w:after="0" w:line="360" w:lineRule="auto"/>
        <w:textAlignment w:val="baseline"/>
        <w:outlineLvl w:val="2"/>
        <w:rPr>
          <w:rFonts w:ascii="Arial" w:eastAsia="Times New Roman" w:hAnsi="Arial" w:cs="Arial"/>
          <w:color w:val="606060"/>
          <w:sz w:val="18"/>
          <w:szCs w:val="18"/>
          <w:lang w:eastAsia="fr-RE"/>
        </w:rPr>
      </w:pPr>
    </w:p>
    <w:p w14:paraId="53CF1298" w14:textId="4A129200" w:rsidR="00852F71" w:rsidRDefault="00852F71" w:rsidP="00852F71">
      <w:pPr>
        <w:pBdr>
          <w:bottom w:val="single" w:sz="4" w:space="1" w:color="auto"/>
        </w:pBdr>
        <w:shd w:val="clear" w:color="auto" w:fill="FFFFFF"/>
        <w:spacing w:after="0" w:line="360" w:lineRule="auto"/>
        <w:textAlignment w:val="baseline"/>
        <w:outlineLvl w:val="2"/>
        <w:rPr>
          <w:rFonts w:ascii="Arial" w:eastAsia="Times New Roman" w:hAnsi="Arial" w:cs="Arial"/>
          <w:b/>
          <w:bCs/>
          <w:color w:val="FF6600"/>
          <w:sz w:val="18"/>
          <w:szCs w:val="18"/>
          <w:bdr w:val="none" w:sz="0" w:space="0" w:color="auto" w:frame="1"/>
          <w:lang w:eastAsia="fr-RE"/>
        </w:rPr>
      </w:pPr>
      <w:r w:rsidRPr="00852F71">
        <w:rPr>
          <w:rFonts w:ascii="Arial" w:eastAsia="Times New Roman" w:hAnsi="Arial" w:cs="Arial"/>
          <w:b/>
          <w:bCs/>
          <w:color w:val="FF6600"/>
          <w:sz w:val="18"/>
          <w:szCs w:val="18"/>
          <w:bdr w:val="none" w:sz="0" w:space="0" w:color="auto" w:frame="1"/>
          <w:lang w:eastAsia="fr-RE"/>
        </w:rPr>
        <w:t>1- Comprendre les objectifs de ces questions</w:t>
      </w:r>
      <w:r>
        <w:rPr>
          <w:rFonts w:ascii="Arial" w:eastAsia="Times New Roman" w:hAnsi="Arial" w:cs="Arial"/>
          <w:b/>
          <w:bCs/>
          <w:color w:val="FF6600"/>
          <w:sz w:val="18"/>
          <w:szCs w:val="18"/>
          <w:bdr w:val="none" w:sz="0" w:space="0" w:color="auto" w:frame="1"/>
          <w:lang w:eastAsia="fr-RE"/>
        </w:rPr>
        <w:t xml:space="preserve">. </w:t>
      </w:r>
    </w:p>
    <w:p w14:paraId="259ABF8C" w14:textId="77777777" w:rsidR="00852F71" w:rsidRPr="00852F71" w:rsidRDefault="00852F71" w:rsidP="00852F71">
      <w:pPr>
        <w:pBdr>
          <w:bottom w:val="single" w:sz="4" w:space="1" w:color="auto"/>
        </w:pBdr>
        <w:shd w:val="clear" w:color="auto" w:fill="FFFFFF"/>
        <w:spacing w:after="0" w:line="360" w:lineRule="auto"/>
        <w:textAlignment w:val="baseline"/>
        <w:outlineLvl w:val="2"/>
        <w:rPr>
          <w:rFonts w:ascii="Arial" w:eastAsia="Times New Roman" w:hAnsi="Arial" w:cs="Arial"/>
          <w:color w:val="606060"/>
          <w:sz w:val="18"/>
          <w:szCs w:val="18"/>
          <w:lang w:eastAsia="fr-RE"/>
        </w:rPr>
      </w:pPr>
    </w:p>
    <w:p w14:paraId="4A093D44" w14:textId="77777777" w:rsidR="00852F71" w:rsidRPr="00852F71" w:rsidRDefault="00852F71" w:rsidP="00852F71">
      <w:pPr>
        <w:pBdr>
          <w:bottom w:val="single" w:sz="4" w:space="1" w:color="auto"/>
        </w:pBd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fr-RE"/>
        </w:rPr>
      </w:pP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– Ce sont des travaux de fin de séquence qui demandent une </w:t>
      </w:r>
      <w:r w:rsidRPr="00852F71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fr-RE"/>
        </w:rPr>
        <w:t>révision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 des éléments appris, ou revus dans les analyses de texte et en langue. Ils permettent donc</w:t>
      </w:r>
      <w:r w:rsidRPr="00852F71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fr-RE"/>
        </w:rPr>
        <w:t> une évaluation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 à court terme de ce qui a été étudié, et </w:t>
      </w:r>
      <w:r w:rsidRPr="00852F71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fr-RE"/>
        </w:rPr>
        <w:t>une consolidation car les mêmes questions reviennent souvent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 (ex. Langue : emploi des MODES et des temps, paroles rapportées).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br/>
        <w:t>– Ce sont des </w:t>
      </w:r>
      <w:r w:rsidRPr="00852F71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fr-RE"/>
        </w:rPr>
        <w:t>préparations au DNB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, car certaines questions sont proches des questions de réflexion assez générales du brevet (</w:t>
      </w:r>
      <w:r w:rsidRPr="00852F71">
        <w:rPr>
          <w:rFonts w:ascii="Arial" w:eastAsia="Times New Roman" w:hAnsi="Arial" w:cs="Arial"/>
          <w:i/>
          <w:iCs/>
          <w:color w:val="404040"/>
          <w:sz w:val="18"/>
          <w:szCs w:val="18"/>
          <w:bdr w:val="none" w:sz="0" w:space="0" w:color="auto" w:frame="1"/>
          <w:lang w:eastAsia="fr-RE"/>
        </w:rPr>
        <w:t>le caractère du personnage, les « sentiments », les émotions, les visées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…)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br/>
        <w:t>– Ce sont aussi des </w:t>
      </w:r>
      <w:r w:rsidRPr="00852F71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fr-RE"/>
        </w:rPr>
        <w:t>préparations aux lectures analytiques des textes littéraires qui seront faites au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 </w:t>
      </w:r>
      <w:r w:rsidRPr="00852F71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fr-RE"/>
        </w:rPr>
        <w:t>lycée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 (même si les axes sont donnés dans les titres des différentes parties) car les « outils de l’analyse » sont mobilisés (énonciation, construction du texte, modalisation, focalisation, figures).</w:t>
      </w:r>
    </w:p>
    <w:p w14:paraId="5F8030B1" w14:textId="77777777" w:rsidR="00852F71" w:rsidRPr="00852F71" w:rsidRDefault="00852F71" w:rsidP="00852F71">
      <w:pPr>
        <w:pBdr>
          <w:bottom w:val="single" w:sz="4" w:space="1" w:color="auto"/>
        </w:pBd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fr-RE"/>
        </w:rPr>
      </w:pP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La présentation </w:t>
      </w:r>
      <w:r w:rsidRPr="00852F71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fr-RE"/>
        </w:rPr>
        <w:t>avec des lignes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 favorise le choix dans l’ordre des réponses, et incite aux réponses développées.</w:t>
      </w:r>
    </w:p>
    <w:p w14:paraId="53D8F215" w14:textId="300EF2BC" w:rsidR="00852F71" w:rsidRPr="00852F71" w:rsidRDefault="00852F71" w:rsidP="00852F71">
      <w:pPr>
        <w:pBdr>
          <w:bottom w:val="single" w:sz="4" w:space="1" w:color="auto"/>
        </w:pBd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fr-RE"/>
        </w:rPr>
      </w:pPr>
    </w:p>
    <w:p w14:paraId="5E2FED9C" w14:textId="77777777" w:rsidR="00852F71" w:rsidRPr="00852F71" w:rsidRDefault="00852F71" w:rsidP="00852F71">
      <w:pPr>
        <w:pBdr>
          <w:bottom w:val="single" w:sz="4" w:space="1" w:color="auto"/>
        </w:pBdr>
        <w:shd w:val="clear" w:color="auto" w:fill="FFFFFF"/>
        <w:spacing w:after="0" w:line="360" w:lineRule="auto"/>
        <w:textAlignment w:val="baseline"/>
        <w:outlineLvl w:val="2"/>
        <w:rPr>
          <w:rFonts w:ascii="Arial" w:eastAsia="Times New Roman" w:hAnsi="Arial" w:cs="Arial"/>
          <w:color w:val="606060"/>
          <w:sz w:val="18"/>
          <w:szCs w:val="18"/>
          <w:lang w:eastAsia="fr-RE"/>
        </w:rPr>
      </w:pPr>
      <w:r w:rsidRPr="00852F71">
        <w:rPr>
          <w:rFonts w:ascii="Arial" w:eastAsia="Times New Roman" w:hAnsi="Arial" w:cs="Arial"/>
          <w:b/>
          <w:bCs/>
          <w:color w:val="FF6600"/>
          <w:sz w:val="18"/>
          <w:szCs w:val="18"/>
          <w:bdr w:val="none" w:sz="0" w:space="0" w:color="auto" w:frame="1"/>
          <w:lang w:eastAsia="fr-RE"/>
        </w:rPr>
        <w:t>2- Travail préparatoire </w:t>
      </w:r>
    </w:p>
    <w:p w14:paraId="6FBB5827" w14:textId="4577EFE7" w:rsidR="00852F71" w:rsidRDefault="00852F71" w:rsidP="00852F71">
      <w:pPr>
        <w:pBdr>
          <w:bottom w:val="single" w:sz="4" w:space="1" w:color="auto"/>
        </w:pBd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fr-RE"/>
        </w:rPr>
      </w:pP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– réviser sérieusement les </w:t>
      </w:r>
      <w:r w:rsidRPr="00852F71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fr-RE"/>
        </w:rPr>
        <w:t>LECTURES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 / études de textes qui ont été faites pendant la séquence.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br/>
        <w:t>– revoir les points de </w:t>
      </w:r>
      <w:r w:rsidRPr="00852F71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fr-RE"/>
        </w:rPr>
        <w:t>LANGUE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 vus depuis le début de l’année</w:t>
      </w:r>
    </w:p>
    <w:p w14:paraId="253B4BF5" w14:textId="77777777" w:rsidR="00852F71" w:rsidRPr="00852F71" w:rsidRDefault="00852F71" w:rsidP="00852F71">
      <w:pPr>
        <w:pBdr>
          <w:bottom w:val="single" w:sz="4" w:space="1" w:color="auto"/>
        </w:pBd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fr-RE"/>
        </w:rPr>
      </w:pPr>
    </w:p>
    <w:p w14:paraId="0131D23F" w14:textId="4CB81772" w:rsidR="00852F71" w:rsidRDefault="00852F71" w:rsidP="00852F71">
      <w:pPr>
        <w:pBdr>
          <w:bottom w:val="single" w:sz="4" w:space="1" w:color="auto"/>
        </w:pBdr>
        <w:shd w:val="clear" w:color="auto" w:fill="FFFFFF"/>
        <w:spacing w:after="0" w:line="360" w:lineRule="auto"/>
        <w:textAlignment w:val="baseline"/>
        <w:outlineLvl w:val="2"/>
        <w:rPr>
          <w:rFonts w:ascii="Arial" w:eastAsia="Times New Roman" w:hAnsi="Arial" w:cs="Arial"/>
          <w:b/>
          <w:bCs/>
          <w:color w:val="FF6600"/>
          <w:sz w:val="18"/>
          <w:szCs w:val="18"/>
          <w:bdr w:val="none" w:sz="0" w:space="0" w:color="auto" w:frame="1"/>
          <w:lang w:eastAsia="fr-RE"/>
        </w:rPr>
      </w:pPr>
      <w:r w:rsidRPr="00852F71">
        <w:rPr>
          <w:rFonts w:ascii="Arial" w:eastAsia="Times New Roman" w:hAnsi="Arial" w:cs="Arial"/>
          <w:b/>
          <w:bCs/>
          <w:color w:val="FF6600"/>
          <w:sz w:val="18"/>
          <w:szCs w:val="18"/>
          <w:bdr w:val="none" w:sz="0" w:space="0" w:color="auto" w:frame="1"/>
          <w:lang w:eastAsia="fr-RE"/>
        </w:rPr>
        <w:t>3- Conseils pour la rédaction des réponses</w:t>
      </w:r>
    </w:p>
    <w:p w14:paraId="4D6844B5" w14:textId="77777777" w:rsidR="00852F71" w:rsidRPr="00852F71" w:rsidRDefault="00852F71" w:rsidP="00852F71">
      <w:pPr>
        <w:pBdr>
          <w:bottom w:val="single" w:sz="4" w:space="1" w:color="auto"/>
        </w:pBdr>
        <w:shd w:val="clear" w:color="auto" w:fill="FFFFFF"/>
        <w:spacing w:after="0" w:line="360" w:lineRule="auto"/>
        <w:textAlignment w:val="baseline"/>
        <w:outlineLvl w:val="2"/>
        <w:rPr>
          <w:rFonts w:ascii="Arial" w:eastAsia="Times New Roman" w:hAnsi="Arial" w:cs="Arial"/>
          <w:color w:val="606060"/>
          <w:sz w:val="18"/>
          <w:szCs w:val="18"/>
          <w:lang w:eastAsia="fr-RE"/>
        </w:rPr>
      </w:pPr>
    </w:p>
    <w:p w14:paraId="6F5B7AF3" w14:textId="77777777" w:rsidR="00852F71" w:rsidRPr="00852F71" w:rsidRDefault="00852F71" w:rsidP="00852F71">
      <w:pPr>
        <w:pBdr>
          <w:bottom w:val="single" w:sz="4" w:space="1" w:color="auto"/>
        </w:pBdr>
        <w:shd w:val="clear" w:color="auto" w:fill="FFFFFF"/>
        <w:spacing w:after="0" w:line="360" w:lineRule="auto"/>
        <w:textAlignment w:val="baseline"/>
        <w:outlineLvl w:val="2"/>
        <w:rPr>
          <w:rFonts w:ascii="Arial" w:eastAsia="Times New Roman" w:hAnsi="Arial" w:cs="Arial"/>
          <w:color w:val="606060"/>
          <w:sz w:val="18"/>
          <w:szCs w:val="18"/>
          <w:lang w:eastAsia="fr-RE"/>
        </w:rPr>
      </w:pPr>
      <w:r w:rsidRPr="00852F71">
        <w:rPr>
          <w:rFonts w:ascii="Arial" w:eastAsia="Times New Roman" w:hAnsi="Arial" w:cs="Arial"/>
          <w:b/>
          <w:bCs/>
          <w:color w:val="FF6600"/>
          <w:sz w:val="18"/>
          <w:szCs w:val="18"/>
          <w:bdr w:val="none" w:sz="0" w:space="0" w:color="auto" w:frame="1"/>
          <w:lang w:eastAsia="fr-RE"/>
        </w:rPr>
        <w:t>3.1 Conseils formels</w:t>
      </w:r>
    </w:p>
    <w:p w14:paraId="2388A1BC" w14:textId="21740893" w:rsidR="00852F71" w:rsidRPr="00852F71" w:rsidRDefault="00852F71" w:rsidP="00852F71">
      <w:pPr>
        <w:pBdr>
          <w:bottom w:val="single" w:sz="4" w:space="1" w:color="auto"/>
        </w:pBd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fr-RE"/>
        </w:rPr>
      </w:pP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– </w:t>
      </w:r>
      <w:r w:rsidRPr="00852F71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fr-RE"/>
        </w:rPr>
        <w:t xml:space="preserve">Recopier sans </w:t>
      </w:r>
      <w:r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fr-RE"/>
        </w:rPr>
        <w:t>erreur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 les mots ou expressions qui sont dans la question.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br/>
        <w:t xml:space="preserve">– </w:t>
      </w:r>
      <w:r w:rsidRPr="00852F71">
        <w:rPr>
          <w:rFonts w:ascii="Arial" w:eastAsia="Times New Roman" w:hAnsi="Arial" w:cs="Arial"/>
          <w:b/>
          <w:bCs/>
          <w:color w:val="404040"/>
          <w:sz w:val="18"/>
          <w:szCs w:val="18"/>
          <w:lang w:eastAsia="fr-RE"/>
        </w:rPr>
        <w:t xml:space="preserve">Recopier sans </w:t>
      </w:r>
      <w:r>
        <w:rPr>
          <w:rFonts w:ascii="Arial" w:eastAsia="Times New Roman" w:hAnsi="Arial" w:cs="Arial"/>
          <w:b/>
          <w:bCs/>
          <w:color w:val="404040"/>
          <w:sz w:val="18"/>
          <w:szCs w:val="18"/>
          <w:lang w:eastAsia="fr-RE"/>
        </w:rPr>
        <w:t>erreur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 xml:space="preserve"> les mots ou expressions du texte que vous citez.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br/>
        <w:t>–</w:t>
      </w:r>
      <w:r w:rsidRPr="00852F71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fr-RE"/>
        </w:rPr>
        <w:t> Reprendre la question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 et enchaîner la réponse (mais ne pas répondre par « Oui », ou « Non… »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br/>
        <w:t>– Utiliser un </w:t>
      </w:r>
      <w:r w:rsidRPr="00852F71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fr-RE"/>
        </w:rPr>
        <w:t>lexique couran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t (donc éviter </w:t>
      </w:r>
      <w:r w:rsidRPr="00852F71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fr-RE"/>
        </w:rPr>
        <w:t>le langage familier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 (</w:t>
      </w:r>
      <w:r w:rsidRPr="00852F71">
        <w:rPr>
          <w:rFonts w:ascii="Arial" w:eastAsia="Times New Roman" w:hAnsi="Arial" w:cs="Arial"/>
          <w:i/>
          <w:iCs/>
          <w:color w:val="404040"/>
          <w:sz w:val="18"/>
          <w:szCs w:val="18"/>
          <w:bdr w:val="none" w:sz="0" w:space="0" w:color="auto" w:frame="1"/>
          <w:lang w:eastAsia="fr-RE"/>
        </w:rPr>
        <w:t>Il en a marre, il s’en fout, un tas de.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..) ou décalé (</w:t>
      </w:r>
      <w:r w:rsidRPr="00852F71">
        <w:rPr>
          <w:rFonts w:ascii="Arial" w:eastAsia="Times New Roman" w:hAnsi="Arial" w:cs="Arial"/>
          <w:i/>
          <w:iCs/>
          <w:color w:val="404040"/>
          <w:sz w:val="18"/>
          <w:szCs w:val="18"/>
          <w:bdr w:val="none" w:sz="0" w:space="0" w:color="auto" w:frame="1"/>
          <w:lang w:eastAsia="fr-RE"/>
        </w:rPr>
        <w:t>il est stressé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 =/ il a peur ; </w:t>
      </w:r>
      <w:r w:rsidRPr="00852F71">
        <w:rPr>
          <w:rFonts w:ascii="Arial" w:eastAsia="Times New Roman" w:hAnsi="Arial" w:cs="Arial"/>
          <w:i/>
          <w:iCs/>
          <w:color w:val="404040"/>
          <w:sz w:val="18"/>
          <w:szCs w:val="18"/>
          <w:bdr w:val="none" w:sz="0" w:space="0" w:color="auto" w:frame="1"/>
          <w:lang w:eastAsia="fr-RE"/>
        </w:rPr>
        <w:t>ça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 au lieu de cela)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br/>
      </w:r>
      <w:r w:rsidRPr="00852F71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fr-RE"/>
        </w:rPr>
        <w:t>Faire attention à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 :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br/>
        <w:t>– </w:t>
      </w:r>
      <w:r w:rsidRPr="00852F71">
        <w:rPr>
          <w:rFonts w:ascii="Arial" w:eastAsia="Times New Roman" w:hAnsi="Arial" w:cs="Arial"/>
          <w:i/>
          <w:iCs/>
          <w:color w:val="404040"/>
          <w:sz w:val="18"/>
          <w:szCs w:val="18"/>
          <w:bdr w:val="none" w:sz="0" w:space="0" w:color="auto" w:frame="1"/>
          <w:lang w:eastAsia="fr-RE"/>
        </w:rPr>
        <w:t>Même </w:t>
      </w:r>
      <w:r w:rsidRPr="00852F71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u w:val="single"/>
          <w:bdr w:val="none" w:sz="0" w:space="0" w:color="auto" w:frame="1"/>
          <w:lang w:eastAsia="fr-RE"/>
        </w:rPr>
        <w:t>s’il</w:t>
      </w:r>
      <w:r w:rsidRPr="00852F71">
        <w:rPr>
          <w:rFonts w:ascii="Arial" w:eastAsia="Times New Roman" w:hAnsi="Arial" w:cs="Arial"/>
          <w:i/>
          <w:iCs/>
          <w:color w:val="404040"/>
          <w:sz w:val="18"/>
          <w:szCs w:val="18"/>
          <w:bdr w:val="none" w:sz="0" w:space="0" w:color="auto" w:frame="1"/>
          <w:lang w:eastAsia="fr-RE"/>
        </w:rPr>
        <w:t> ne le sait pas 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 (jamais * si il)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br/>
        <w:t>– </w:t>
      </w:r>
      <w:r w:rsidRPr="00852F71">
        <w:rPr>
          <w:rFonts w:ascii="Arial" w:eastAsia="Times New Roman" w:hAnsi="Arial" w:cs="Arial"/>
          <w:i/>
          <w:iCs/>
          <w:color w:val="404040"/>
          <w:sz w:val="18"/>
          <w:szCs w:val="18"/>
          <w:bdr w:val="none" w:sz="0" w:space="0" w:color="auto" w:frame="1"/>
          <w:lang w:eastAsia="fr-RE"/>
        </w:rPr>
        <w:t>Il veut que celui-ci </w:t>
      </w:r>
      <w:r w:rsidRPr="00852F71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bdr w:val="none" w:sz="0" w:space="0" w:color="auto" w:frame="1"/>
          <w:lang w:eastAsia="fr-RE"/>
        </w:rPr>
        <w:t>sache  / comprenne  /  essaie  / se mette … / ait  / soit …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 (SUBJONCTIF)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br/>
        <w:t>– </w:t>
      </w:r>
      <w:r w:rsidRPr="00852F71">
        <w:rPr>
          <w:rFonts w:ascii="Arial" w:eastAsia="Times New Roman" w:hAnsi="Arial" w:cs="Arial"/>
          <w:i/>
          <w:iCs/>
          <w:color w:val="404040"/>
          <w:sz w:val="18"/>
          <w:szCs w:val="18"/>
          <w:bdr w:val="none" w:sz="0" w:space="0" w:color="auto" w:frame="1"/>
          <w:lang w:eastAsia="fr-RE"/>
        </w:rPr>
        <w:t>Il sait </w:t>
      </w:r>
      <w:r w:rsidRPr="00852F71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u w:val="single"/>
          <w:bdr w:val="none" w:sz="0" w:space="0" w:color="auto" w:frame="1"/>
          <w:lang w:eastAsia="fr-RE"/>
        </w:rPr>
        <w:t>ce que</w:t>
      </w:r>
      <w:r w:rsidRPr="00852F71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bdr w:val="none" w:sz="0" w:space="0" w:color="auto" w:frame="1"/>
          <w:lang w:eastAsia="fr-RE"/>
        </w:rPr>
        <w:t> cela veut dire</w:t>
      </w:r>
      <w:r w:rsidRPr="00852F71">
        <w:rPr>
          <w:rFonts w:ascii="Arial" w:eastAsia="Times New Roman" w:hAnsi="Arial" w:cs="Arial"/>
          <w:i/>
          <w:iCs/>
          <w:color w:val="404040"/>
          <w:sz w:val="18"/>
          <w:szCs w:val="18"/>
          <w:bdr w:val="none" w:sz="0" w:space="0" w:color="auto" w:frame="1"/>
          <w:lang w:eastAsia="fr-RE"/>
        </w:rPr>
        <w:t> 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( et non pas * </w:t>
      </w:r>
      <w:r w:rsidRPr="00852F71">
        <w:rPr>
          <w:rFonts w:ascii="Arial" w:eastAsia="Times New Roman" w:hAnsi="Arial" w:cs="Arial"/>
          <w:i/>
          <w:iCs/>
          <w:color w:val="404040"/>
          <w:sz w:val="18"/>
          <w:szCs w:val="18"/>
          <w:bdr w:val="none" w:sz="0" w:space="0" w:color="auto" w:frame="1"/>
          <w:lang w:eastAsia="fr-RE"/>
        </w:rPr>
        <w:t>qu’est-ce que.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..)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br/>
        <w:t>– aux accords dans le GN, ou de l’attribut : </w:t>
      </w:r>
      <w:r w:rsidRPr="00852F71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bdr w:val="none" w:sz="0" w:space="0" w:color="auto" w:frame="1"/>
          <w:lang w:eastAsia="fr-RE"/>
        </w:rPr>
        <w:t>Ils sont pareil</w:t>
      </w:r>
      <w:r w:rsidRPr="00852F71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u w:val="single"/>
          <w:bdr w:val="none" w:sz="0" w:space="0" w:color="auto" w:frame="1"/>
          <w:lang w:eastAsia="fr-RE"/>
        </w:rPr>
        <w:t>s</w:t>
      </w:r>
      <w:r w:rsidRPr="00852F71">
        <w:rPr>
          <w:rFonts w:ascii="Arial" w:eastAsia="Times New Roman" w:hAnsi="Arial" w:cs="Arial"/>
          <w:i/>
          <w:iCs/>
          <w:color w:val="404040"/>
          <w:sz w:val="18"/>
          <w:szCs w:val="18"/>
          <w:bdr w:val="none" w:sz="0" w:space="0" w:color="auto" w:frame="1"/>
          <w:lang w:eastAsia="fr-RE"/>
        </w:rPr>
        <w:t> …</w:t>
      </w:r>
    </w:p>
    <w:p w14:paraId="4BB16610" w14:textId="77777777" w:rsidR="00852F71" w:rsidRPr="00852F71" w:rsidRDefault="00852F71" w:rsidP="00852F71">
      <w:pPr>
        <w:pBdr>
          <w:bottom w:val="single" w:sz="4" w:space="1" w:color="auto"/>
        </w:pBdr>
        <w:shd w:val="clear" w:color="auto" w:fill="FFFFFF"/>
        <w:spacing w:after="0" w:line="360" w:lineRule="auto"/>
        <w:textAlignment w:val="baseline"/>
        <w:outlineLvl w:val="2"/>
        <w:rPr>
          <w:rFonts w:ascii="Arial" w:eastAsia="Times New Roman" w:hAnsi="Arial" w:cs="Arial"/>
          <w:color w:val="606060"/>
          <w:sz w:val="18"/>
          <w:szCs w:val="18"/>
          <w:lang w:eastAsia="fr-RE"/>
        </w:rPr>
      </w:pPr>
      <w:r w:rsidRPr="00852F71">
        <w:rPr>
          <w:rFonts w:ascii="Arial" w:eastAsia="Times New Roman" w:hAnsi="Arial" w:cs="Arial"/>
          <w:b/>
          <w:bCs/>
          <w:color w:val="FF6600"/>
          <w:sz w:val="18"/>
          <w:szCs w:val="18"/>
          <w:bdr w:val="none" w:sz="0" w:space="0" w:color="auto" w:frame="1"/>
          <w:lang w:eastAsia="fr-RE"/>
        </w:rPr>
        <w:t>3.2 Conseils de méthode</w:t>
      </w:r>
    </w:p>
    <w:p w14:paraId="3BB77C06" w14:textId="55570270" w:rsidR="00852F71" w:rsidRDefault="00852F71" w:rsidP="00852F71">
      <w:pPr>
        <w:pBdr>
          <w:bottom w:val="single" w:sz="4" w:space="1" w:color="auto"/>
        </w:pBd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fr-RE"/>
        </w:rPr>
      </w:pP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– </w:t>
      </w:r>
      <w:r w:rsidRPr="00852F71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fr-RE"/>
        </w:rPr>
        <w:t>répondre à toutes les questions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.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br/>
        <w:t>– répondre avec des </w:t>
      </w:r>
      <w:r w:rsidRPr="00852F71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fr-RE"/>
        </w:rPr>
        <w:t>réponses rédigées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, même très simplement, avec reprise à l’identique de la question.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br/>
        <w:t>– </w:t>
      </w:r>
      <w:r w:rsidRPr="00852F71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fr-RE"/>
        </w:rPr>
        <w:t>Développer les réponses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 </w:t>
      </w:r>
      <w:r w:rsidRPr="00852F71">
        <w:rPr>
          <w:rFonts w:ascii="Arial" w:eastAsia="Times New Roman" w:hAnsi="Arial" w:cs="Arial"/>
          <w:b/>
          <w:bCs/>
          <w:color w:val="404040"/>
          <w:sz w:val="18"/>
          <w:szCs w:val="18"/>
          <w:bdr w:val="none" w:sz="0" w:space="0" w:color="auto" w:frame="1"/>
          <w:lang w:eastAsia="fr-RE"/>
        </w:rPr>
        <w:t>qui le demandent (Coefficient plus fort) en utilisant le développement de l’argument ERIC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br/>
      </w:r>
      <w:r w:rsidRPr="00852F71">
        <w:rPr>
          <w:rFonts w:ascii="Arial" w:eastAsia="Times New Roman" w:hAnsi="Arial" w:cs="Arial"/>
          <w:i/>
          <w:iCs/>
          <w:color w:val="404040"/>
          <w:sz w:val="18"/>
          <w:szCs w:val="18"/>
          <w:bdr w:val="none" w:sz="0" w:space="0" w:color="auto" w:frame="1"/>
          <w:lang w:eastAsia="fr-RE"/>
        </w:rPr>
        <w:t>Je crois que / On peut dire que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 …</w:t>
      </w:r>
      <w:r w:rsidRPr="00852F71">
        <w:rPr>
          <w:rFonts w:ascii="Arial" w:eastAsia="Times New Roman" w:hAnsi="Arial" w:cs="Arial"/>
          <w:color w:val="FF6600"/>
          <w:sz w:val="18"/>
          <w:szCs w:val="18"/>
          <w:bdr w:val="none" w:sz="0" w:space="0" w:color="auto" w:frame="1"/>
          <w:lang w:eastAsia="fr-RE"/>
        </w:rPr>
        <w:t> E Énoncer son idée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br/>
      </w:r>
      <w:r w:rsidRPr="00852F71">
        <w:rPr>
          <w:rFonts w:ascii="Arial" w:eastAsia="Times New Roman" w:hAnsi="Arial" w:cs="Arial"/>
          <w:i/>
          <w:iCs/>
          <w:color w:val="404040"/>
          <w:sz w:val="18"/>
          <w:szCs w:val="18"/>
          <w:bdr w:val="none" w:sz="0" w:space="0" w:color="auto" w:frame="1"/>
          <w:lang w:eastAsia="fr-RE"/>
        </w:rPr>
        <w:t>Parce que le personnage fait ceci, se comporte comme cela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…</w:t>
      </w:r>
      <w:r w:rsidRPr="00852F71">
        <w:rPr>
          <w:rFonts w:ascii="Arial" w:eastAsia="Times New Roman" w:hAnsi="Arial" w:cs="Arial"/>
          <w:color w:val="FF6600"/>
          <w:sz w:val="18"/>
          <w:szCs w:val="18"/>
          <w:bdr w:val="none" w:sz="0" w:space="0" w:color="auto" w:frame="1"/>
          <w:lang w:eastAsia="fr-RE"/>
        </w:rPr>
        <w:t> R Raisonner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, justifier, expliquer son idée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br/>
      </w:r>
      <w:r w:rsidRPr="00852F71">
        <w:rPr>
          <w:rFonts w:ascii="Arial" w:eastAsia="Times New Roman" w:hAnsi="Arial" w:cs="Arial"/>
          <w:i/>
          <w:iCs/>
          <w:color w:val="404040"/>
          <w:sz w:val="18"/>
          <w:szCs w:val="18"/>
          <w:bdr w:val="none" w:sz="0" w:space="0" w:color="auto" w:frame="1"/>
          <w:lang w:eastAsia="fr-RE"/>
        </w:rPr>
        <w:t>On le voit lorsque l’auteur écrit : « … »</w:t>
      </w:r>
      <w:r w:rsidRPr="00852F71">
        <w:rPr>
          <w:rFonts w:ascii="Arial" w:eastAsia="Times New Roman" w:hAnsi="Arial" w:cs="Arial"/>
          <w:color w:val="FF6600"/>
          <w:sz w:val="18"/>
          <w:szCs w:val="18"/>
          <w:bdr w:val="none" w:sz="0" w:space="0" w:color="auto" w:frame="1"/>
          <w:lang w:eastAsia="fr-RE"/>
        </w:rPr>
        <w:t> I Illustrer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 par une citation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br/>
      </w:r>
      <w:r w:rsidRPr="00852F71">
        <w:rPr>
          <w:rFonts w:ascii="Arial" w:eastAsia="Times New Roman" w:hAnsi="Arial" w:cs="Arial"/>
          <w:i/>
          <w:iCs/>
          <w:color w:val="404040"/>
          <w:sz w:val="18"/>
          <w:szCs w:val="18"/>
          <w:bdr w:val="none" w:sz="0" w:space="0" w:color="auto" w:frame="1"/>
          <w:lang w:eastAsia="fr-RE"/>
        </w:rPr>
        <w:t>Ce qui nous montre son insensibilité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… </w:t>
      </w:r>
      <w:r w:rsidRPr="00852F71">
        <w:rPr>
          <w:rFonts w:ascii="Arial" w:eastAsia="Times New Roman" w:hAnsi="Arial" w:cs="Arial"/>
          <w:color w:val="FF6600"/>
          <w:sz w:val="18"/>
          <w:szCs w:val="18"/>
          <w:bdr w:val="none" w:sz="0" w:space="0" w:color="auto" w:frame="1"/>
          <w:lang w:eastAsia="fr-RE"/>
        </w:rPr>
        <w:t>C Conclure</w:t>
      </w:r>
      <w:r w:rsidRPr="00852F71">
        <w:rPr>
          <w:rFonts w:ascii="Arial" w:eastAsia="Times New Roman" w:hAnsi="Arial" w:cs="Arial"/>
          <w:color w:val="404040"/>
          <w:sz w:val="18"/>
          <w:szCs w:val="18"/>
          <w:lang w:eastAsia="fr-RE"/>
        </w:rPr>
        <w:t> en élargissant, ou en approfondissant, en dépassant la première idée (pourquoi comme cela ? )</w:t>
      </w:r>
    </w:p>
    <w:p w14:paraId="06056B84" w14:textId="77777777" w:rsidR="00852F71" w:rsidRPr="00852F71" w:rsidRDefault="00852F71" w:rsidP="00852F71">
      <w:pPr>
        <w:pBdr>
          <w:bottom w:val="single" w:sz="4" w:space="1" w:color="auto"/>
        </w:pBd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404040"/>
          <w:sz w:val="18"/>
          <w:szCs w:val="18"/>
          <w:lang w:eastAsia="fr-RE"/>
        </w:rPr>
      </w:pPr>
    </w:p>
    <w:sectPr w:rsidR="00852F71" w:rsidRPr="00852F71" w:rsidSect="00852F71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71"/>
    <w:rsid w:val="0085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EFFF"/>
  <w15:chartTrackingRefBased/>
  <w15:docId w15:val="{76956915-80FF-4D4B-8030-94E0D0FE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52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R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52F71"/>
    <w:rPr>
      <w:rFonts w:ascii="Times New Roman" w:eastAsia="Times New Roman" w:hAnsi="Times New Roman" w:cs="Times New Roman"/>
      <w:b/>
      <w:bCs/>
      <w:sz w:val="27"/>
      <w:szCs w:val="27"/>
      <w:lang w:eastAsia="fr-RE"/>
    </w:rPr>
  </w:style>
  <w:style w:type="character" w:styleId="lev">
    <w:name w:val="Strong"/>
    <w:basedOn w:val="Policepardfaut"/>
    <w:uiPriority w:val="22"/>
    <w:qFormat/>
    <w:rsid w:val="00852F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5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RE"/>
    </w:rPr>
  </w:style>
  <w:style w:type="character" w:styleId="Accentuation">
    <w:name w:val="Emphasis"/>
    <w:basedOn w:val="Policepardfaut"/>
    <w:uiPriority w:val="20"/>
    <w:qFormat/>
    <w:rsid w:val="00852F71"/>
    <w:rPr>
      <w:i/>
      <w:iCs/>
    </w:rPr>
  </w:style>
  <w:style w:type="paragraph" w:customStyle="1" w:styleId="wp-caption-text">
    <w:name w:val="wp-caption-text"/>
    <w:basedOn w:val="Normal"/>
    <w:rsid w:val="0085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RE"/>
    </w:rPr>
  </w:style>
  <w:style w:type="paragraph" w:styleId="Paragraphedeliste">
    <w:name w:val="List Paragraph"/>
    <w:basedOn w:val="Normal"/>
    <w:uiPriority w:val="34"/>
    <w:qFormat/>
    <w:rsid w:val="00852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349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Malin</dc:creator>
  <cp:keywords/>
  <dc:description/>
  <cp:lastModifiedBy>Cécile Malin</cp:lastModifiedBy>
  <cp:revision>1</cp:revision>
  <dcterms:created xsi:type="dcterms:W3CDTF">2021-01-13T15:02:00Z</dcterms:created>
  <dcterms:modified xsi:type="dcterms:W3CDTF">2021-01-13T15:05:00Z</dcterms:modified>
</cp:coreProperties>
</file>